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315 vom 16. April 2020</w:t>
      </w:r>
    </w:p>
    <w:p>
      <w:r>
        <w:t>FR Kantonsgericht, 2020-04-16, FR</w:t>
      </w:r>
    </w:p>
    <w:p>
      <w:r>
        <w:rPr>
          <w:b/>
        </w:rPr>
        <w:t xml:space="preserve">Quelle: </w:t>
      </w:r>
      <w:r>
        <w:t>https://mcp.opencaselaw.ch/entscheid/fr_gerichte_101 2019 315</w:t>
      </w:r>
    </w:p>
    <w:p>
      <w:r>
        <w:t>FR: FR_GERICHTE 101 2019 315 du 16 avril 2020</w:t>
      </w:r>
    </w:p>
    <w:p>
      <w:r>
        <w:t>IT: FR_GERICHTE 101 2019 315 del 16 aprile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contre les mesures provisionnelles de première instance pour autant que, dans les affaires patrimoniales, la valeur litigieuse au dernier état des conclusions soit supérieure à CHF 10'000.- (art. 308 al. 1 let. b et al. 2 CPC). Le délai d'appel en procédure sommaire – qui régit notamment les mesures provisionnelles dans le cadre de l'action indépendante en entretien (art. 248 let. d et 304 CPC) – est de 10 jours (art. 314 al. 1 CPC).</w:t>
      </w:r>
    </w:p>
    <w:p>
      <w:r>
        <w:t>Tribunal cantonal TC Page 3 de 8 En l'espèce, la décision attaquée a été notifiée à l'appelant le 30 septembre 2019. Déposé le 10 octobre 2019, l'appel a dès lors été interjeté en temps utile. Selon la jurisprudence, lorsqu'une convention complète réglant la séparation des époux est remise en cause pour la première fois dans un pourvoi, ce sont les conclusions prises en deuxième instance qui déterminent la valeur litigieuse (arrêt TC FR 101 2017 381 du 26 mars 2018), plus précisément la différence entre le montant de ces conclusions et celui convenu jusqu'alors et désormais contesté (BASTONS BULLETTI, CPC online, newsletter du 31 janvier 2019; cf. ég. arrêt TC FR 101 2019 53 du 31 juillet 2019 consid. 1.1.2). En l’espèce, ce sont les pensions dès le 1er octobre 2019 qui sont contestées. Or, les parties avaient convenu qu’elles laisseraient au Président le soin de les fixer, sans articuler elles-mêmes de montant (il est de plus relevé que l’appelant n’a jamais répondu à la requête de l’intimée, et n’a jamais pris de conclusions formelles au sujet des pensions). Ainsi, il est à présent impossible de déterminer la valeur litigieuse en calculant la différence entre les montants convenus en audience et ceux auxquels il est conclu en appel. Il sera ainsi tenu compte de la différence entre les pensions fixées par le Président (CHF 1'200.- par enfant pour le mois d’octobre 2019 et CHF 1'000.- par la suite) et de celles auxquelles a conclu l’appelant (CHF 600.- par enfant pour le mois d’octobre 2019 et CHF 400.- par la suite). Ainsi, et au vu de la durée indéterminée des prestations, il sera considéré que la valeur litigieuse de CHF 10'000.- est atteinte. Au vu de ce qui précède, l'appel est recevable.</w:t>
      </w:r>
    </w:p>
    <w:p>
      <w:r>
        <w:rPr>
          <w:b/>
        </w:rPr>
        <w:t>E. 1.2</w:t>
      </w:r>
    </w:p>
    <w:p>
      <w:r>
        <w:t>S'agissant d'une question relative à des enfants mineurs, le tribunal doit établir les faits d'office (maxime inquisitoire, art. 296 al. 1 CPC) et n'est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A teneur de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1.5</w:t>
      </w:r>
    </w:p>
    <w:p>
      <w:r>
        <w:t>Vu les montants contestés en appel et la durée pour laquelle les mesures provisionnelles sont prononcées, la valeur litigieuse de CHF 30'000.- pour un recours en matière civile au Tribunal fédéral semble atteinte (art. 51 al. 1 let. a et al. 4 LTF).</w:t>
      </w:r>
    </w:p>
    <w:p>
      <w:r>
        <w:rPr>
          <w:b/>
        </w:rPr>
        <w:t>E. 2.1</w:t>
      </w:r>
    </w:p>
    <w:p>
      <w:r>
        <w:t>L’appelant estime qu’un revenu hypothétique aurait dû être imputé à la mère suite au licenciement de celle-ci. Le Président s'était refusé à le faire au stade des mesures provisionnelles, estimant que le renvoi n'était pas imputable à l'intimée. Celle-ci avait en effet été licenciée au 21 juillet 2019 de son travail à 60% car ses jours de travail ne s’accordaient pas avec ceux durant lesquels elle gardait ses enfants. L’appelant conteste ce raisonnement, soulignant que le contrat de l’intimée a été résilié 2 jours avant l’audience du 23 juillet 2019 et qu'il n'y avait jamais eu, auparavant, de problème entre les jours de travail et les jours de garde. Ainsi, l'intimée n’a pas fait tout ce qui était en son pouvoir pour garder son emploi. Partant, l'appelant estime qu’un revenu de CHF 2'499.45 correspondant au salaire du mois de juin 2019 doit être retenu à l'encontre de la mère de ses enfants, et cela dès septembre 2019 déjà, soit après un mois d’adaptation.</w:t>
      </w:r>
    </w:p>
    <w:p>
      <w:r>
        <w:t>Tribunal cantonal TC Page 4 de 8</w:t>
      </w:r>
    </w:p>
    <w:p>
      <w:r>
        <w:rPr>
          <w:b/>
        </w:rPr>
        <w:t>E. 2.2</w:t>
      </w:r>
    </w:p>
    <w:p>
      <w:r>
        <w:t>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S'agissant de l'ampleur de la prise en charge nécessaire de l'enfant, et donc du taux d'activité exigible du parent gardien, la jurisprudence récente modifie les paliers valables antérieurement. S'il ne peut toujours être exigé d'un époux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ou celui-ci débute le degré secondaire (ATF 144 III 481 consid. 4.7.6 ; arrêt TC FR 101 2017 132 du 12 décembre 2017 consid. 3.2.3 in RFJ 2017 231). Il s'agit toutefois là de règles générales, auxquelles le juge peut déroger en fonction des circonstances concrètes (ATF 144 III 481 consid. 4.7.7).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rPr>
          <w:b/>
        </w:rPr>
        <w:t>E. 2.3</w:t>
      </w:r>
    </w:p>
    <w:p>
      <w:r>
        <w:t>En l’espèce, l’intimée se trouvait encore dans le temps d’essai lorsqu’elle a été licenciée, soit dans une période délicate durant laquelle la continuation des rapports de travail est incertaine. Dans ces circonstances et en l’absence de toute autre information, la Cour ne peut imputer à l’intimée le fait qu’elle a été licenciée. Quoiqu’il en soit, les reproches de l’appelant tombent aujourd’hui à faux puisque l’intimée a été en mesure de trouver un nouvel emploi au 21 octobre 2019. Elle a en effet été engagée en qualité d’auxiliaire de santé à un taux de 50% pour un salaire brut de CHF 2'271.35. Partant, elle a entrepris tous les efforts que l’on pouvait attendre d’elle pour trouver rapidement un travail adapté et réaliser un revenu. Il convient certes de se demander si ce taux d'activité doit être augmenté au vu, d’une part, du déficit de l'intimée et, d’autre part, de la garde alternée. Toutefois, les jumeaux sont encore très jeunes, de sorte qu’ils ont encore besoin de la présence de leur mère. L’appelant lui-même n’a par ailleurs pas conclu à ce que l'intimée travaille à un taux beaucoup plus élevé, puisqu'il proposait de retenir à titre de revenu hypothétique le salaire qu'elle percevait en juin 2019 au taux de 60%. Finalement, il est relevé que l'intimée a travaillé à 50% par le passé (pièce 6 du bordereau du 31 mai 2019), et qu'elle n'a occupé son dernier poste à 60% que du 1er juin 2019 au 21 juillet 2019. Ainsi, le nouveau taux de travail à 50% peut être considéré comme étant raisonnable.</w:t>
      </w:r>
    </w:p>
    <w:p>
      <w:r>
        <w:t>Tribunal cantonal TC Page 5 de 8</w:t>
      </w:r>
    </w:p>
    <w:p>
      <w:r>
        <w:rPr>
          <w:b/>
        </w:rPr>
        <w:t>E. 2.4</w:t>
      </w:r>
    </w:p>
    <w:p>
      <w:r>
        <w:t>Au vu de ce qui précède, il convient de retenir que l’intimée percevait des indemnités de chômage de CHF 1'925.- jusqu’en octobre 2019. Le 21 octobre 2019, elle a débuté sa nouvelle activité et a perçu un salaire net de CHF 781.- (pièce 9 du bordereau du 22 novembre 2019). Ses revenus ont ainsi augmenté dans une certaine mesure, l'assurance chômage ayant cependant certainement adapté ses indemnités pour tenir compte de ce gain (art. 24 LACI). Par mesure de simplification et au vu du fait que cette augmentation ne porte que sur un mois, c’est tout de même un montant de CHF 1'925.- qui sera pris en compte à titre de revenu du mois d’octobre 2019. Depuis novembre 2019, l’intimée ne perçoit plus les indemnités mais un salaire net de CHF 2'221.85 (CHF 2'271.35 bruts – cotisations par 9.704% /12 x 13 ; cf. pièces 7 et 9 du bordereau du 22 novembre 2019), soit une augmentation du revenu de CHF 296.85 (CHF 2'221.85 – CHF 1'925.-). Toutefois, et comme l’a soulevé à juste titre l’intimée, la reprise d’un nouvel emploi entraine des frais de garde pour les enfants. Un montant de CHF 200.- doit ainsi être pris en compte dans les frais des enfants à la charge de l’intimée, à l’image du montant retenu dans les charges de l’appelant. Partant, la situation financière de l’intimée ne s’est, en soi, pas améliorée, son budget présentant presque le même déficit que celui calculé par le Président.</w:t>
      </w:r>
    </w:p>
    <w:p>
      <w:r>
        <w:rPr>
          <w:b/>
        </w:rPr>
        <w:t>E. 3.1</w:t>
      </w:r>
    </w:p>
    <w:p>
      <w:r>
        <w:t>L’appelant estime que l’autorité précédente s’est méprise en établissant son revenu. Le Président s’est basé les avis de taxation des trois dernières années et, prenant en compte les chiffres indiqués sous la rubrique « activité indépendante principale » (CHF 70'000.- pour 2015, CHF 80'000.- pour 2016 et CHF 77'577.- pour 2017), a calculé la moyenne des revenus mensuels de l’appelant (CHF 6'322.- par mois). Il a ajouté à ce résultat un montant de CHF 850.- correspondant au loyer que l’appelant perçoit d’un studio et est ainsi arrivé à la conclusion que l’époux bénéficie de revenus d’un montant total de CHF 7’172.-. L’appelant soutient cependant que les chiffres indiqués sous la rubrique « activité indépendante principale » des avis de taxation comprennent déjà le loyer relatif au studio dès lors que, selon une annotation sur l’avis de taxation 2017, le revenu de l’activité indépendante se décompose comme suit : « revenu déclaré : 62'177 + loyer interne : 10'800 (1'200 selon questionnaire immobilier) + part privée vhc 2'300 + part privée FG : 2’300 ». Ainsi, il soutient que son revenu s’élève à CHF 6'271.60 et non à CHF 7'172.-.</w:t>
      </w:r>
    </w:p>
    <w:p>
      <w:r>
        <w:rPr>
          <w:b/>
        </w:rPr>
        <w:t>E. 3.2</w:t>
      </w:r>
    </w:p>
    <w:p>
      <w:r>
        <w:t>L’annotation faite par le SCC sur l’avis de taxation 2017 ne concerne que l’activité professionnelle de l’appelant. Il s’agit d’un correctif appliqué au résultat comptable (art. 18 al. 3 et 58 al. 1 LIFD). En effet, selon le document « charges/recettes 2017 », l’appelant avait déclaré un bénéfice de CHF 62'176.60, correspondant à la différence entre des recettes à hauteur de CHF 147'171.05 et des charges à hauteur de CHF 84'994.45 (véhicules par CHF 9'192.70, téléphones par CHF 1'126.75, chauffage-électricité par CHF 5'790.25, assurances par CHF 1'907.-,loyer par CHF 12'000.-, frais représentation/déplacement par CHF 925.70, frais bancaires par CHF 49.35). Le SCC n’a pas admis la totalité des charges relatives au loyer, aux véhicules et aux frais généraux, puisqu’il a corrigé à la hausse le revenu déclaré de l’activité indépendante de CHF 62'176.60, considérant qu’une partie des charges déclarées à titre commercial bénéficiait à l’appelante à titre privée. Ainsi, l’annotation faite par le SCC concerne le loyer commercial et ne se rapporte nullement à la location du studio privé, revenu locatif qui ne lui profite que depuis décembre 2017 et ne figure donc pas sur l’avis de taxation 2017. La méthode de calcul du revenu utilisée par l’autorité précédente ne prête ainsi nullement le flanc à la critique, de sorte que la décision est confirmée sur ce point.</w:t>
      </w:r>
    </w:p>
    <w:p>
      <w:r>
        <w:t>Tribunal cantonal TC Page 6 de 8</w:t>
      </w:r>
    </w:p>
    <w:p>
      <w:r>
        <w:rPr>
          <w:b/>
        </w:rPr>
        <w:t>E. 4.1</w:t>
      </w:r>
    </w:p>
    <w:p>
      <w:r>
        <w:t>L’appelant estime que les montants des tabelles zurichoises, sur lesquelles s’est basée l’autorité précédente pour fixer les besoins des enfants, auraient dû être diminuée de 25% pour tenir compte du coût de vie réduit dans le canton de Fribourg. Le Président a en effet refusé de procéder à dite diminution, relevant que les parents devaient prendre en charge les enfants dans deux foyers différents avec toutes les commodités nécessaires en raison de la garde alternée, que le revenu cumulé des parties s'élevait à CHF 9'097.- pour des charges avant impôts de CHF 5'667.85, que les parties n'étaient pas mariées et que le père assumait les frais de nourriture des jumeaux pendant la période durant laquelle ils sont sous sa garde ainsi que les frais de crèche (en sus de la part au loyer), tandis que la mère assumait seule l’intégralité des autres charges. L’appelant estime cependant que la garde alternée n’entraine pas de frais supplémentaires. Il admet que les frais de logement et les frais de garde sont comptés à double mais relève que c’est à lui de payer les contributions d’entretien et qu’il est ainsi seul à assumer ces charges. En plus des frais relatifs à sa garde, il doit également payer les frais de subsistance de l’intimée alors qu’elle n’a pas la charge des enfants la moitié du temps.</w:t>
      </w:r>
    </w:p>
    <w:p>
      <w:r>
        <w:rPr>
          <w:b/>
        </w:rPr>
        <w:t>E. 4.2</w:t>
      </w:r>
    </w:p>
    <w:p>
      <w:r>
        <w:t>Les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des besoins concrets particuliers de l'enfant, ainsi que du niveau de vie et de la capacité contributive des parents (pour le tout : arrêts TF 5A_61/2015 du 20 mai 2015 consid. 3.2.1.1 et 5A_100/2012 du 30 août 2012 consid. 6.1 et les références citées; cf. ég. de PORET BORTOLASO, in SJ 2016 II 141 [152 s.]). Si l'adaptation des tabelles zurichoises à chaque cas d'espèce n'implique pas, sans autres considérations, une réduction systématique forfaitaire de 25% du coût d'entretien, pour un enfant vivant dans une famille au revenu moyen, dans le canton de Fribourg (dans ce sens : arrêt TF 5A_690/2010 du 21 avril 2011 consid. 2.3), à l'inverse, des revenus cumulés dépassant CHF 7'000.- à CHF 7'500.- n'impliquent pas la prise en compte systématique des tabelles non réduites, encore moins une augmentation de celles-ci. Le coût d'entretien déterminé par les tabelles, en dépit de leur dénomination, ne correspond pas au coût d'entretien effectif d'un enfant résidant dans la région zurichoise, mais correspond à une moyenne suisse. Il s'ensuit que le montant indicatif d'entretien d'un enfant, tel qu'il est déterminé par les tabelles, doit être adapté concrètement aux circonstances du lieu de résidence de l'enfant, aux besoins de l'enfant et aux moyens financiers de la famille. Il appartient au débirentier d'alléguer que les frais de logement ou autres postes de l'entretien des enfants (nourriture et habillement notamment) seraient effectivement inférieurs dans le cas d'espèce par rapport à ceux retenus comme moyenne nationale pour établir les tabelles zurichoises (arrêt TF 5A_100/2012 du 30 août 2012 consid. 6.2), respectivement au crédirentier d'alléguer qu'ils seraient supérieurs. En outre, il faut rappeler qu'en matière de fixation de contributions d'entretien, le juge dispose d'un large pouvoir d'appréciation (ATF 138 III 289 consid. 11.1.1 et les références citées).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consid. 4.3; 128 III 161 consid. 2c/aa).</w:t>
      </w:r>
    </w:p>
    <w:p>
      <w:r>
        <w:rPr>
          <w:b/>
        </w:rPr>
        <w:t>E. 4.3</w:t>
      </w:r>
    </w:p>
    <w:p>
      <w:r>
        <w:t>Le Président s’est basé sur les tabelles zurichoises en les adaptant au cas concret, notamment en tenant compte des coûts de logement concret. S’agissant de son choix de ne pas diminuer les tabelles de 25%, il l’a correctement justifié par les coûts des enfants et le montant des revenus cumulés des parents. La Cour ne peut ainsi critiquer le raisonnement de l’autorité</w:t>
      </w:r>
    </w:p>
    <w:p>
      <w:r>
        <w:t>Tribunal cantonal TC Page 7 de 8 précédente. L’appelant bénéficie, après le versement des pensions en faveur de ses enfants, d’un solde de CHF 2'209.35 en octobre 2019 et de CHF 2'609.35 par la suite, de sorte qu’il ne parait pas choquant que de ne pas diminuer les montants retenus dans les tabelles zurichoises de 25%. Partant, la décision attaquée est confirmée sur ce point également.</w:t>
      </w:r>
    </w:p>
    <w:p>
      <w:r>
        <w:rPr>
          <w:b/>
        </w:rPr>
        <w:t>E. 5</w:t>
      </w:r>
    </w:p>
    <w:p>
      <w:r>
        <w:t>Vu le sort de l'appel, les frais doivent être mis à la charge de A.________ (art. 106 al. 1 CPC). Ils comprennent notamment les frais de justice dus à l'Etat, fixés à CHF 1’000.-. Dits frais seront prélevés sur l'avance effectuée par l'appelant.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seront arrêtés globalement à la somme de CHF 1’200.-, débours compris, TVA par CHF 92.40 en sus (7.7 % de CHF 1’700.-). [décision en page suivante]</w:t>
      </w:r>
    </w:p>
    <w:p>
      <w:r>
        <w:t>Tribunal cantonal TC Page 8 de 8 la Cour arrête : I. L'appel est rejeté. Partant, la décision rendue le 27 septembre 2019 par le Président du Tribunal civil de la Glâne est confirmée. II. Les frais d'appel sont mis à la charge de A.________. Ils comprennent les frais judiciaires dus à l'Etat, fixés à CHF 1’000.-, qui seront prélevés sur l'avance de frais qu'il a versée. Les dépens d'appel de B.________ sont fixés globalement à CHF 1’200.-, TVA en sus par CHF 92.40.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avril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